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Da Aarhus byråd i sin tid besluttede at omdanne de bynære havnearealer til bolig- og erhvervsområde, blev der udarbejdet dels en kvalitetshåndbog og en dispositionsplan for området.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Tanken var at undgå de fejltagelser, som mange andre byer (henunder København og London) havde begået i byudviklingen af tidligere havnearealer: for tæt byggeri, for massivt byggeri, for få områder bygget - med Jan Gehls udtryk til “5 kilometer i timen” - til mennesker).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Udsnittet herover stammer fra dispositionsplanen - og indeholder blandt andet byggefelterne B og C, som er genstand for denne høring.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Som det ses af tegningen, sikrer nybyggeriet langs Kystvejen at udsynet til bugten bevares - og at der samtidig IKKE dannes en mur, der skiller byen og havnearealerne ad. Der lægges i dispisitionsplanen vægt på, at de “gamle” ejendomme fra Kystvejen og ind mod åen udgør en historisk “bymur”, der ikke skal lukkes inde af nyt, højt byggeri.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Med forslaget til lokalplan 1181 bevæger Aarhus kommune sig endnu en gang væk fra de oprindelige tanker om udviklingen af Aarhus Ø - og sammenhængen til det oprindelige Aarhus.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I forslaget lægges der op til endnu et massivt byggeri, der lukker af for byens udsyn over bugten. Samtidig er bygningshøjderne alt for høje - både i forhold til at binde den oprindelige by sammen med Aarhus Ø og i forhold til at sikre lys og luft i området.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Jeg bakker fuldstændig op om høringssvaret fra Fællesrådet for Aarhus Ø og De Bynære Havnearealer.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Bedste hilsner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Jette Jensen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